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/>
        <w:rPr>
          <w:rFonts w:ascii="Saysettha OT" w:eastAsia="Saysettha OT" w:hAnsi="Saysettha OT" w:cs="Saysettha OT" w:hint="cs"/>
          <w:b/>
          <w:color w:val="000000"/>
          <w:sz w:val="16"/>
          <w:szCs w:val="16"/>
        </w:rPr>
      </w:pPr>
      <w:r>
        <w:rPr>
          <w:rFonts w:ascii="Saysettha OT" w:hAnsi="Saysettha OT" w:cs="Saysettha OT" w:hint="cs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0" distR="0" behindDoc="1" locked="0" layoutInCell="1" simplePos="0" relativeHeight="251658240" allowOverlap="1" hidden="0">
                <wp:simplePos x="0" y="0"/>
                <wp:positionH relativeFrom="column">
                  <wp:posOffset>-139065</wp:posOffset>
                </wp:positionH>
                <wp:positionV relativeFrom="paragraph">
                  <wp:posOffset>-74458</wp:posOffset>
                </wp:positionV>
                <wp:extent cx="6009005" cy="66040"/>
                <wp:effectExtent l="0" t="0" r="0" b="0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2341498" y="3746345"/>
                          <a:chExt cx="6009005" cy="6604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341498" y="3746345"/>
                            <a:ext cx="6009005" cy="66040"/>
                            <a:chOff x="1216" y="-9"/>
                            <a:chExt cx="9463" cy="104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216" y="-8"/>
                              <a:ext cx="9450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  <wps:wsp>
                          <wps:cNvPr id="2" name="child 2"/>
                          <wps:cNvSpPr>
                            <a:spLocks/>
                          </wps:cNvSpPr>
                          <wps:spPr>
                            <a:xfrm>
                              <a:off x="1216" y="-9"/>
                              <a:ext cx="3155" cy="104"/>
                            </a:xfrm>
                            <a:prstGeom prst="rect">
                              <a:avLst/>
                            </a:prstGeom>
                            <a:solidFill>
                              <a:srgbClr val="4e9ed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  <wps:wsp>
                          <wps:cNvPr id="3" name="child 3"/>
                          <wps:cNvSpPr>
                            <a:spLocks/>
                          </wps:cNvSpPr>
                          <wps:spPr>
                            <a:xfrm>
                              <a:off x="4370" y="-9"/>
                              <a:ext cx="3155" cy="104"/>
                            </a:xfrm>
                            <a:prstGeom prst="rect">
                              <a:avLst/>
                            </a:prstGeom>
                            <a:solidFill>
                              <a:srgbClr val="ab1f8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  <wps:wsp>
                          <wps:cNvPr id="4" name="child 4"/>
                          <wps:cNvSpPr>
                            <a:spLocks/>
                          </wps:cNvSpPr>
                          <wps:spPr>
                            <a:xfrm>
                              <a:off x="7524" y="-9"/>
                              <a:ext cx="3155" cy="104"/>
                            </a:xfrm>
                            <a:prstGeom prst="rect">
                              <a:avLst/>
                            </a:prstGeom>
                            <a:solidFill>
                              <a:srgbClr val="bcbe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10.95pt;margin-top:-5.86283pt;width:473.15pt;height:5.2pt;mso-position-horizontal-relative:column;mso-position-vertical-relative:line;z-index:-251658240" coordorigin="3687,5899" coordsize="9463,104">
                <v:group style="position:absolute;left:3687.4;top:5899.76;width:9463;height:104" coordorigin="1216,-9" coordsize="9463,104">
                  <v:rect id="1027" style="position:absolute;left:1216;top:-8;width:9450;height:100" filled="f" fillcolor="#ffffff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b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  <v:rect id="1028" style="position:absolute;left:1216;top:-9;width:3155;height:104" filled="t" fillcolor="#4e9ed6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b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  <v:rect id="1029" style="position:absolute;left:4370;top:-9;width:3155;height:104" filled="t" fillcolor="#ab1f8c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b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  <v:rect id="1030" style="position:absolute;left:7524;top:-9;width:3155;height:104" filled="t" fillcolor="#bcbe4f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b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</v:group>
              </v:group>
            </w:pict>
          </mc:Fallback>
        </mc:AlternateContent>
      </w:r>
      <w:r>
        <w:rPr>
          <w:rFonts w:ascii="Saysettha OT" w:eastAsia="Saysettha OT" w:hAnsi="Saysettha OT" w:cs="Saysettha OT" w:hint="cs"/>
          <w:b/>
          <w:color w:val="000000"/>
          <w:sz w:val="16"/>
          <w:szCs w:val="16"/>
        </w:rPr>
        <w:t>ແຜນການປັບປຸງໃໝ່ກ່ຽວກັບການເວັ້ນໄລຍະຫ່າງທາງສັງຄົມ</w:t>
      </w:r>
      <w:r>
        <w:rPr>
          <w:rFonts w:ascii="Saysettha OT" w:eastAsia="Saysettha OT" w:hAnsi="Saysettha OT" w:cs="Saysettha OT"/>
          <w:b/>
          <w:color w:val="000000"/>
          <w:sz w:val="16"/>
          <w:szCs w:val="16"/>
        </w:rPr>
        <w:t xml:space="preserve"> (</w:t>
      </w:r>
      <w:r>
        <w:rPr>
          <w:rFonts w:ascii="Saysettha OT" w:eastAsia="Saysettha OT" w:hAnsi="Saysettha OT" w:cs="Saysettha OT" w:hint="cs"/>
          <w:b/>
          <w:color w:val="000000"/>
          <w:sz w:val="16"/>
          <w:szCs w:val="16"/>
        </w:rPr>
        <w:t>ວັນທີ</w:t>
      </w:r>
      <w:r>
        <w:rPr>
          <w:rFonts w:ascii="Saysettha OT" w:eastAsia="Saysettha OT" w:hAnsi="Saysettha OT" w:cs="Saysettha OT"/>
          <w:b/>
          <w:color w:val="000000"/>
          <w:sz w:val="16"/>
          <w:szCs w:val="16"/>
        </w:rPr>
        <w:t xml:space="preserve"> 1 </w:t>
      </w:r>
      <w:r>
        <w:rPr>
          <w:rFonts w:ascii="Saysettha OT" w:eastAsia="Saysettha OT" w:hAnsi="Saysettha OT" w:cs="Saysettha OT" w:hint="cs"/>
          <w:b/>
          <w:color w:val="000000"/>
          <w:sz w:val="16"/>
          <w:szCs w:val="16"/>
        </w:rPr>
        <w:t>ກໍລະກົດ</w:t>
      </w:r>
      <w:r>
        <w:rPr>
          <w:rFonts w:ascii="Saysettha OT" w:eastAsia="Saysettha OT" w:hAnsi="Saysettha OT" w:cs="Saysettha OT"/>
          <w:b/>
          <w:color w:val="000000"/>
          <w:sz w:val="16"/>
          <w:szCs w:val="16"/>
        </w:rPr>
        <w:t xml:space="preserve"> ~)</w:t>
      </w:r>
      <w:r>
        <w:rPr>
          <w:rFonts w:ascii="Saysettha OT" w:eastAsia="Saysettha OT" w:hAnsi="Saysettha OT" w:cs="Saysettha OT"/>
          <w:b/>
          <w:color w:val="000000"/>
          <w:sz w:val="16"/>
          <w:szCs w:val="16"/>
        </w:rPr>
        <w:t xml:space="preserve">: </w:t>
      </w:r>
      <w:r>
        <w:rPr>
          <w:rFonts w:ascii="Saysettha OT" w:eastAsia="Saysettha OT" w:hAnsi="Saysettha OT" w:cs="Saysettha OT" w:hint="cs"/>
          <w:b/>
          <w:color w:val="000000"/>
          <w:sz w:val="16"/>
          <w:szCs w:val="16"/>
        </w:rPr>
        <w:t>ເອກະສານການສົ່ງເສີມກົດລະບຽບຂອງສະຖານທີ່ອຳນວຍຄວາມສະດວກ</w:t>
      </w:r>
    </w:p>
    <w:p>
      <w:pPr>
        <w:spacing w:after="1" w:before="16" w:line="240" w:lineRule="auto"/>
        <w:rPr>
          <w:rFonts w:ascii="Saysettha OT" w:eastAsia="Saysettha OT" w:hAnsi="Saysettha OT" w:cs="Saysettha OT" w:hint="cs"/>
          <w:color w:val="000000"/>
          <w:sz w:val="16"/>
          <w:szCs w:val="16"/>
        </w:rPr>
      </w:pPr>
      <w:r>
        <w:rPr>
          <w:rFonts w:ascii="Saysettha OT" w:hAnsi="Saysettha OT" w:cs="Saysettha OT" w:hint="cs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behindDoc="0" locked="0" layoutInCell="1" simplePos="0" relativeHeight="251659264" allowOverlap="1" hidden="0">
                <wp:simplePos x="0" y="0"/>
                <wp:positionH relativeFrom="column">
                  <wp:posOffset>-147320</wp:posOffset>
                </wp:positionH>
                <wp:positionV relativeFrom="paragraph">
                  <wp:posOffset>84272</wp:posOffset>
                </wp:positionV>
                <wp:extent cx="6009005" cy="64135"/>
                <wp:effectExtent l="0" t="0" r="0" b="0"/>
                <wp:wrapNone/>
                <wp:docPr id="1031" name="shape103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2341498" y="3747933"/>
                          <a:chExt cx="6009005" cy="6413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341498" y="3747933"/>
                            <a:ext cx="6009005" cy="64135"/>
                            <a:chOff x="1216" y="682"/>
                            <a:chExt cx="9463" cy="101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216" y="682"/>
                              <a:ext cx="9450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  <wps:wsp>
                          <wps:cNvPr id="2" name="child 2"/>
                          <wps:cNvSpPr>
                            <a:spLocks/>
                          </wps:cNvSpPr>
                          <wps:spPr>
                            <a:xfrm>
                              <a:off x="1216" y="682"/>
                              <a:ext cx="3155" cy="101"/>
                            </a:xfrm>
                            <a:prstGeom prst="rect">
                              <a:avLst/>
                            </a:prstGeom>
                            <a:solidFill>
                              <a:srgbClr val="4e9ed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  <wps:wsp>
                          <wps:cNvPr id="3" name="child 3"/>
                          <wps:cNvSpPr>
                            <a:spLocks/>
                          </wps:cNvSpPr>
                          <wps:spPr>
                            <a:xfrm>
                              <a:off x="4370" y="682"/>
                              <a:ext cx="3155" cy="101"/>
                            </a:xfrm>
                            <a:prstGeom prst="rect">
                              <a:avLst/>
                            </a:prstGeom>
                            <a:solidFill>
                              <a:srgbClr val="ab1f8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  <wps:wsp>
                          <wps:cNvPr id="4" name="child 4"/>
                          <wps:cNvSpPr>
                            <a:spLocks/>
                          </wps:cNvSpPr>
                          <wps:spPr>
                            <a:xfrm>
                              <a:off x="7524" y="682"/>
                              <a:ext cx="3155" cy="101"/>
                            </a:xfrm>
                            <a:prstGeom prst="rect">
                              <a:avLst/>
                            </a:prstGeom>
                            <a:solidFill>
                              <a:srgbClr val="bcbe4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after="0" w:line="240" w:lineRule="auto"/>
                                  <w:textDirection w:val="btLr"/>
                                  <w:rPr>
                                    <w:rFonts w:ascii="Saysettha OT" w:eastAsia="Saysettha OT" w:hAnsi="Saysettha OT" w:cs="Saysettha OT" w:hint="cs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25" tIns="91425" rIns="91425" bIns="91425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11.6pt;margin-top:6.63559pt;width:473.15pt;height:5.05pt;mso-position-horizontal-relative:column;mso-position-vertical-relative:line;z-index:251659264" coordorigin="3687,5902" coordsize="9463,101">
                <v:group style="position:absolute;left:3687.4;top:5902.26;width:9463;height:101" coordorigin="1216,682" coordsize="9463,101">
                  <v:rect id="1033" style="position:absolute;left:1216;top:682;width:9450;height:100" filled="f" fillcolor="#ffffff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  <v:rect id="1034" style="position:absolute;left:1216;top:682;width:3155;height:101" filled="t" fillcolor="#4e9ed6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  <v:rect id="1035" style="position:absolute;left:4370;top:682;width:3155;height:101" filled="t" fillcolor="#ab1f8c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  <v:rect id="1036" style="position:absolute;left:7524;top:682;width:3155;height:101" filled="t" fillcolor="#bcbe4f" stroked="f">
                    <v:textbox inset="2.5mm,2.5mm,2.5mm,2.5mm">
                      <w:txbxContent>
                        <w:p>
                          <w:pPr>
                            <w:spacing w:after="0" w:line="240" w:lineRule="auto"/>
                            <w:textDirection w:val="btLr"/>
                            <w:rPr>
                              <w:rFonts w:ascii="Saysettha OT" w:eastAsia="Saysettha OT" w:hAnsi="Saysettha OT" w:cs="Saysettha OT" w:hint="cs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  <v:stroke joinstyle="round"/>
                  </v:rect>
                </v:group>
              </v:group>
            </w:pict>
          </mc:Fallback>
        </mc:AlternateContent>
      </w:r>
    </w:p>
    <w:tbl>
      <w:tblPr>
        <w:tblStyle w:val="a"/>
        <w:tblW w:w="9990" w:type="dxa"/>
        <w:tblInd w:w="-360" w:type="dxa"/>
        <w:tblLook w:val="0400" w:firstRow="0" w:lastRow="0" w:firstColumn="0" w:lastColumn="0" w:noHBand="0" w:noVBand="1"/>
        <w:tblLayout w:type="fixed"/>
      </w:tblPr>
      <w:tblGrid>
        <w:gridCol w:w="2220"/>
        <w:gridCol w:w="2190"/>
        <w:gridCol w:w="1801"/>
        <w:gridCol w:w="1800"/>
        <w:gridCol w:w="1979"/>
      </w:tblGrid>
      <w:tr>
        <w:trPr>
          <w:trHeight w:val="375" w:hRule="atLeast"/>
        </w:trPr>
        <w:tc>
          <w:tcPr>
            <w:tcW w:w="2220" w:type="dxa"/>
            <w:tcBorders>
              <w:top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E4E4FF"/>
          </w:tcPr>
          <w:p>
            <w:pPr>
              <w:ind w:left="16" w:right="7"/>
              <w:jc w:val="center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ການຈັດປະເພດ</w:t>
            </w:r>
          </w:p>
        </w:tc>
        <w:tc>
          <w:tcPr>
            <w:tcW w:w="2190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4E4FF"/>
          </w:tcPr>
          <w:p>
            <w:pPr>
              <w:ind w:left="81" w:right="63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1 </w:t>
            </w:r>
          </w:p>
          <w:p>
            <w:pPr>
              <w:ind w:left="81" w:right="6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4E4FF"/>
          </w:tcPr>
          <w:p>
            <w:pPr>
              <w:ind w:left="81" w:right="63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2 </w:t>
            </w:r>
          </w:p>
          <w:p>
            <w:pPr>
              <w:ind w:left="81" w:right="63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4E4FF"/>
          </w:tcPr>
          <w:p>
            <w:pPr>
              <w:ind w:left="81" w:right="63"/>
              <w:jc w:val="center"/>
              <w:spacing w:after="0"/>
              <w:rPr>
                <w:rFonts w:ascii="Saysettha OT" w:eastAsia="Saysettha OT" w:hAnsi="Saysettha OT" w:cs="Saysettha OT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979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E4E4FF"/>
          </w:tcPr>
          <w:p>
            <w:pPr>
              <w:ind w:left="81" w:right="63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4</w:t>
            </w:r>
          </w:p>
        </w:tc>
      </w:tr>
      <w:tr>
        <w:trPr>
          <w:trHeight w:val="237" w:hRule="atLeast"/>
        </w:trPr>
        <w:tc>
          <w:tcPr>
            <w:tcW w:w="222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6" w:right="19"/>
              <w:jc w:val="center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ຫົວຂໍ້ຂອງແຕ່ລະຂັ້ນ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44" w:hanging="148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ສືບຕໍ່ຮັກສາລະດັບ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ການຄວບຄຸມ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6" w:hanging="145"/>
              <w:pBdr>
                <w:between w:val="nil"/>
                <w:top w:val="nil"/>
                <w:left w:val="nil"/>
                <w:bottom w:val="nil"/>
                <w:right w:val="nil"/>
              </w:pBdr>
              <w:numPr>
                <w:ilvl w:val="0"/>
                <w:numId w:val="1"/>
              </w:numPr>
              <w:spacing w:after="0"/>
              <w:rPr>
                <w:rFonts w:ascii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ທ່າອ່ຽງຂອງຂົງ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ເຂດ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/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ການຈໍາກັດ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ກຸ່ມຄົນ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ຂໍ້ຫ້າມສິ່ງທີ່ຢູ່ໃນຂົງເຂດນິຍົມປະຕິບັດ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ເຕົ້າໂຮມກັນ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45" w:hanging="166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ການລະບາດຂອງເຊື່ອ</w:t>
            </w:r>
          </w:p>
          <w:p>
            <w:pPr>
              <w:ind w:left="245" w:hanging="166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ໂຣກ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/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ຈະບໍ່ໜີໄປທາງໃດ</w:t>
            </w:r>
          </w:p>
          <w:p>
            <w:pPr>
              <w:ind w:left="245" w:hanging="166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505" w:hRule="atLeast"/>
        </w:trPr>
        <w:tc>
          <w:tcPr>
            <w:tcW w:w="22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6" w:right="19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ການຕັດສິນໃຈ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ການໄກ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ເກ່ຍຂອງອົງການກ່ຽວ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ຂ້ອງ</w:t>
            </w:r>
          </w:p>
          <w:p>
            <w:pPr>
              <w:ind w:left="16" w:right="19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  <w:p>
            <w:pPr>
              <w:ind w:right="1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5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3" w:hanging="157"/>
              <w:spacing w:after="0" w:before="77" w:line="240" w:lineRule="auto"/>
              <w:rPr>
                <w:rFonts w:ascii="Saysettha OT" w:eastAsia="Saysettha OT" w:hAnsi="Saysettha OT" w:cs="Saysettha OT" w:hint="eastAsia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ເມືອງ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ເຂດ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ແຂວງ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ສໍານັກງານໃຫຍ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ສູນກາງປະຕິບັດມາດຕະການ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ຮັກສາຄວາມປອດໄພ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ຕອບໂຕ້ໄພພິບັດ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45" w:hanging="166"/>
              <w:spacing w:after="0" w:before="77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ສໍານັກງານໃຫຍ່ສູນ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ກາງຮັກສາຄວາມ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ປອດໄພແລະ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ຕອບໂຕ້ໄພພິບັດ</w:t>
            </w:r>
          </w:p>
        </w:tc>
      </w:tr>
      <w:tr>
        <w:trPr>
          <w:trHeight w:val="646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spacing w:after="0" w:before="5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 </w:t>
            </w:r>
          </w:p>
          <w:p>
            <w:pPr>
              <w:ind w:left="16" w:right="21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  <w:p>
            <w:pPr>
              <w:ind w:left="16" w:right="21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ມາດຕະຖານ</w:t>
            </w:r>
          </w:p>
          <w:p>
            <w:pPr>
              <w:ind w:left="16" w:right="21"/>
              <w:jc w:val="center"/>
              <w:spacing w:after="0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</w:tcPr>
          <w:p>
            <w:pPr>
              <w:ind w:left="253" w:hanging="157"/>
              <w:spacing w:after="0" w:before="151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ຄົນຕໍ່ພົນລະເມືອງ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</w:tcPr>
          <w:p>
            <w:pPr>
              <w:ind w:left="263" w:hanging="172"/>
              <w:spacing w:after="0" w:before="151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ຄົນຫລືຫລາຍ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ກວ່ານັ້ນຕໍ່ພົນລະ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ເມືອງ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</w:tcPr>
          <w:p>
            <w:pPr>
              <w:ind w:left="248" w:hanging="149"/>
              <w:spacing w:after="0" w:before="151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ຄົນຫລືຫລາຍ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ກວ່ານັ້ນຕໍ່ພົນລະ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ເມືອງ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</w:tcBorders>
          </w:tcPr>
          <w:p>
            <w:pPr>
              <w:ind w:left="238" w:hanging="159"/>
              <w:spacing w:after="0" w:before="151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ຄົນຫລືຫລາຍ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ກວ່ານັ້ນຕໍ່ພົນລະ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ເມືອງ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</w:tr>
      <w:tr>
        <w:trPr>
          <w:trHeight w:val="478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dotted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97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*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ທົ່ວປະເທດ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egoe UI Symbol" w:eastAsia="Saysettha OT" w:hAnsi="Segoe UI Symbol" w:cs="Segoe UI Symbol"/>
                <w:color w:val="000000"/>
                <w:sz w:val="16"/>
                <w:szCs w:val="16"/>
              </w:rPr>
              <w:t>▸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ເຂດນະຄອນຫລວງ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250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1801" w:type="dxa"/>
            <w:tcBorders>
              <w:top w:val="dotted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97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*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ທົ່ວປະເທດ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  <w:p>
            <w:pPr>
              <w:ind w:left="97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egoe UI Symbol" w:eastAsia="Saysettha OT" w:hAnsi="Segoe UI Symbol" w:cs="Segoe UI Symbol"/>
                <w:color w:val="000000"/>
                <w:sz w:val="16"/>
                <w:szCs w:val="16"/>
              </w:rPr>
              <w:t>▸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ເຂດນະຄອນ</w:t>
            </w:r>
          </w:p>
          <w:p>
            <w:pPr>
              <w:ind w:left="97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ຫລວງ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250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1800" w:type="dxa"/>
            <w:tcBorders>
              <w:top w:val="dotted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10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*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ທົ່ວປະເທດ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  <w:p>
            <w:pPr>
              <w:ind w:left="10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egoe UI Symbol" w:eastAsia="Saysettha OT" w:hAnsi="Segoe UI Symbol" w:cs="Segoe UI Symbol"/>
                <w:color w:val="000000"/>
                <w:sz w:val="16"/>
                <w:szCs w:val="16"/>
              </w:rPr>
              <w:t>▸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ເຂດນະຄອນ</w:t>
            </w:r>
          </w:p>
          <w:p>
            <w:pPr>
              <w:ind w:left="97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ຫລວງ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1979" w:type="dxa"/>
            <w:tcBorders>
              <w:top w:val="dotted" w:sz="6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ind w:left="8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*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ທົ່ວປະເທດ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  <w:p>
            <w:pPr>
              <w:ind w:left="8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egoe UI Symbol" w:eastAsia="Saysettha OT" w:hAnsi="Segoe UI Symbol" w:cs="Segoe UI Symbol"/>
                <w:color w:val="000000"/>
                <w:sz w:val="16"/>
                <w:szCs w:val="16"/>
              </w:rPr>
              <w:t>▸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ເຂດນະຄອນ</w:t>
            </w:r>
          </w:p>
          <w:p>
            <w:pPr>
              <w:ind w:left="97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ຫລວງ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</w:tr>
      <w:tr>
        <w:trPr>
          <w:trHeight w:val="917" w:hRule="atLeast"/>
        </w:trPr>
        <w:tc>
          <w:tcPr>
            <w:tcW w:w="2220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before="4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 </w:t>
            </w:r>
          </w:p>
          <w:p>
            <w:pPr>
              <w:ind w:left="16" w:right="19"/>
              <w:jc w:val="center"/>
              <w:spacing w:after="0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  <w:p>
            <w:pPr>
              <w:ind w:left="16" w:right="19"/>
              <w:jc w:val="center"/>
              <w:spacing w:after="0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ການຊຸມນຸມກັນ</w:t>
            </w:r>
          </w:p>
        </w:tc>
        <w:tc>
          <w:tcPr>
            <w:tcW w:w="21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8" w:hanging="172"/>
              <w:spacing w:after="0" w:before="43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ະຕິບັດຕາມລະບຽບການກັກກັນ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*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ອາທິດ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(7.1~7.14)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ໄລຍະຂອງການປະຕິບັດມາດ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ຕະການ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ດົນເຖິງ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ອາທິດ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ຈະແຕກຕ່າງກັນໃນແຕ່ລະເຂດ</w:t>
            </w:r>
          </w:p>
        </w:tc>
        <w:tc>
          <w:tcPr>
            <w:tcW w:w="18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ການຊຸມນຸມກັນບໍ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່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້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ຫ້າມຊຸມນຸມກັນ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ກັນເປັນການ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ສ່ວນຕົວຫລາຍ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9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right="156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*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ວາງແຜນໃນການປ່ຽນ</w:t>
            </w:r>
            <w:r>
              <w:rPr>
                <w:rFonts w:ascii="Saysettha OT" w:eastAsia="Saysettha OT" w:hAnsi="Saysettha OT" w:cs="Saysettha OT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ແປງແຕ່ລະຂັ້ນຕອນ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ຫລັງຈາກໄລຍະເວລາຂອງການປະຕິບັດການ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ຫລາຍສຸດ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5" w:right="439" w:hanging="166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ການຊຸມນຸມກັນ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ບໍ່ໃຫ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ຫ້າມຊຸມນຸມ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ກັນເປັນການ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ສ່ວນຕົວແຕ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ຄົນຂຶ້ນໄປ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40" w:right="456" w:hanging="161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ການຊຸມນຸມກັນບໍ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18:00  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ຫ້າມການຊຸມນຸມ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ກັນເປັນການ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ສ່ວນຕົວຫລາຍ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3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274" w:hanging="132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*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18:00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ອະນຸຍາດໃຫ້ຊຸມ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ສູງສຸດ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</w:tr>
      <w:tr>
        <w:trPr>
          <w:trHeight w:val="246" w:hRule="atLeast"/>
        </w:trPr>
        <w:tc>
          <w:tcPr>
            <w:tcW w:w="999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E7D8"/>
          </w:tcPr>
          <w:p>
            <w:pPr>
              <w:ind w:left="1369" w:right="1365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ສິ່ງອໍານວຍຄວາມສະດວກກຸ່ມທີ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1: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ຮ້ານບັນເທີງຕ່າງ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ໆ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ທຸກປະເພດຮ້ານກິນດື່ມຫລືບາຕ່າງ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ໆ</w:t>
            </w:r>
          </w:p>
        </w:tc>
      </w:tr>
      <w:tr>
        <w:trPr>
          <w:trHeight w:val="301" w:hRule="atLeast"/>
        </w:trPr>
        <w:tc>
          <w:tcPr>
            <w:tcW w:w="22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16" w:right="19"/>
              <w:jc w:val="center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ການຈັດປະເພດ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>
        <w:trPr>
          <w:trHeight w:val="534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before="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</w:p>
          <w:p>
            <w:pPr>
              <w:ind w:left="203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ຮ້ານບັນເທີງກາງຄືນ</w:t>
            </w:r>
          </w:p>
          <w:p>
            <w:pPr>
              <w:ind w:left="203"/>
              <w:spacing w:after="0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18" w:right="-61" w:hanging="221"/>
              <w:spacing w:after="0" w:before="175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ຄົນຕໍ່ພື້ນທີ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ຂອງສະຖານທີ່ອໍານວຍ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ຄວາມສະດວກ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ຕາລາງແມັດສໍາລັບ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ຄລັບ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,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318" w:right="-61" w:hanging="221"/>
              <w:spacing w:after="0" w:before="175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3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ຂອງສະຖານທີ່ອໍານວຍ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ຄວາມສະດວກ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2-4),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ຄລັບ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1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59"/>
              <w:spacing w:after="0" w:before="175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ຫ້າມເປີດການຊຸມ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ແຊວ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ຢູ່ໃນບາ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ກາງຄືນ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);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ຮ້ານບາສະໜອງອາລົມ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ຮ້ານຊອກ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ຫາຄູ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ind w:left="238" w:hanging="159"/>
              <w:spacing w:after="0" w:before="175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301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24:00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8" w:hanging="15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  <w:tc>
          <w:tcPr>
            <w:tcW w:w="197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304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77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6" w:right="-293" w:hanging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ມາດຕະການເພີ່ມຕື່ມສໍາລັບທຸກປະເພດຮ້ານບັນເທີງ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ສະຖານທີ່ຮ້ອງເພັງ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ຮ້ານເຕັ້ນ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ລໍາ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ຖືກຫ້າມ</w:t>
            </w:r>
          </w:p>
        </w:tc>
      </w:tr>
      <w:tr>
        <w:trPr>
          <w:trHeight w:val="301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84" w:right="172"/>
              <w:spacing w:after="0" w:before="58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ຮ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້ານບັນເທີງແລະຮ້ານ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ເກມ</w:t>
            </w:r>
          </w:p>
        </w:tc>
        <w:tc>
          <w:tcPr>
            <w:tcW w:w="2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 w:before="11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1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ພື້ນທີ່ອໍານວຍຄວາມສະ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ດວກ</w:t>
            </w:r>
          </w:p>
          <w:p>
            <w:pPr>
              <w:ind w:left="256" w:hanging="160"/>
              <w:spacing w:after="0" w:before="11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ຕາລາງແມັດຂອງພື້ນທີ່ອໍານວຍຄວາມສະດວກ</w:t>
            </w:r>
          </w:p>
        </w:tc>
      </w:tr>
      <w:tr>
        <w:trPr>
          <w:trHeight w:val="301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</w:t>
            </w:r>
          </w:p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8" w:hanging="15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</w:t>
            </w:r>
          </w:p>
          <w:p>
            <w:pPr>
              <w:ind w:left="266" w:hanging="175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46" w:hRule="atLeast"/>
        </w:trPr>
        <w:tc>
          <w:tcPr>
            <w:tcW w:w="999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E7D8"/>
          </w:tcPr>
          <w:p>
            <w:pPr>
              <w:ind w:left="360" w:right="558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ສິ່ງອໍານວຍຄວາມສະດວກກຸ່ມທີ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2: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ຮ້ານອາຫານທົ່ວໄປ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ສະຖານທີ່ພ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ັກຜ່ອນ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ຮ້ານຂາຍເຂົ້າໜົມ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ບ່ອນອາບນໍ້າສາທາລະນະ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ສະຖານທີ່ຮົມຢາ</w:t>
            </w:r>
          </w:p>
        </w:tc>
      </w:tr>
      <w:tr>
        <w:trPr>
          <w:trHeight w:val="304" w:hRule="atLeast"/>
        </w:trPr>
        <w:tc>
          <w:tcPr>
            <w:tcW w:w="22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16" w:right="19"/>
              <w:jc w:val="center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ການຈັດປະເພດ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>
        <w:trPr>
          <w:trHeight w:val="491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93" w:right="396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ຣ້ານອາຫານ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ຮ້ານກາເຟ</w:t>
            </w:r>
          </w:p>
          <w:p>
            <w:pPr>
              <w:ind w:left="393" w:right="396"/>
              <w:jc w:val="center"/>
              <w:spacing w:after="0" w:before="153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6" w:hanging="160"/>
              <w:spacing w:after="0" w:before="5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ເວັ້ນໄລຍະຫ່າງ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ແມັດລະຫວ່າງໂຕະຫລືໃຊ້ໂຕະນຶ່ງໜ່ວຍຂັ້ນລະຫວ່າງກັນ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ຫລືໃຊ້ສິ່ງກັ້ນ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ລະຫວ່າງໂຕະ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ສໍາລັບສະຖານທີ່ຫລາຍກວ່າ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ມົນທົນ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</w:tr>
      <w:tr>
        <w:trPr>
          <w:trHeight w:val="304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ອະນຸຍາດໃຫ້ຈັດສົ່ງ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ເປັນຫໍ່ເຄື່ອງຫລັງ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24:00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8" w:hanging="15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ອະນຸຍາດໃຫ້ຈັດສົ່ງເປັນຫໍ່ເຄື່ອງຫລັງຈາກ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  <w:p>
            <w:pPr>
              <w:ind w:left="258" w:hanging="15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301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45" w:hanging="152"/>
              <w:spacing w:after="0" w:before="156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້ອງກາຣາໂອເກະ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ຫ້ອງກາຣາໂອເກະຢອດຫລຽນ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1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1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498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ບໍ່ອະນຸຍາດກິນອາຫານໃນສະຖານທີ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1 ~ 4)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6" w:hanging="175"/>
              <w:spacing w:after="0" w:before="5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ຢຸດການບໍລິການຫລັງ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24:00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8" w:hanging="159"/>
              <w:spacing w:after="0" w:before="5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ຢຸດການບໍລິການຫລັງ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  <w:p>
            <w:pPr>
              <w:ind w:left="258" w:hanging="159"/>
              <w:spacing w:after="0" w:before="5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301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03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ທຸລະກິດການບໍລິການ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ອາບນໍ້າ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ຫ້ອງອາບນໍ້າ</w:t>
            </w:r>
          </w:p>
          <w:p>
            <w:pPr>
              <w:ind w:left="203"/>
              <w:spacing w:after="0" w:before="112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304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3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8" w:hanging="15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ຸດການບໍລິການຫລັງ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301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</w:p>
          <w:p>
            <w:pPr>
              <w:spacing w:after="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</w:p>
          <w:p>
            <w:pPr>
              <w:spacing w:after="0" w:before="4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</w:p>
          <w:p>
            <w:pPr>
              <w:ind w:left="107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  <w:p>
            <w:pPr>
              <w:ind w:left="107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ສະຖານທີ່ຫລີ້ນກິລາ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ໃນຮົ່ມ</w:t>
            </w:r>
          </w:p>
          <w:p>
            <w:pPr>
              <w:ind w:left="107"/>
              <w:spacing w:after="0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66" w:hanging="17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1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</w:tr>
      <w:tr>
        <w:trPr>
          <w:trHeight w:val="505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66" w:hanging="175"/>
              <w:spacing w:after="0" w:before="57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8" w:hanging="159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ກໍານົດເວລາເປີດ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ບໍລິການ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ສະລອຍ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ນໍ້າ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ເຖິງ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14:00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83" w:hanging="159"/>
              <w:spacing w:after="0" w:before="57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ຢຸດການບໍລິການຫລັງ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  <w:p>
            <w:pPr>
              <w:ind w:left="283" w:hanging="159"/>
              <w:spacing w:after="0" w:before="57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02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-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ປະເພດກິລາ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135" w:right="206" w:hanging="225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ຫ້າມການຫລີ້ນ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ກິລາທຸກປະເພດ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ນັກກິລາມີ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ແຕະຕ້ອງ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ຕົວກັນ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ໂດຍກົງ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ການແຂ່ງຂັນ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313" w:right="206" w:hanging="221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41" w:hanging="142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ກິລາປິ່ງປ໋ອງ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ການແຂ່ງຂັນປະເພດຄູ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່ ຫ້າມຫລີ້ນກາຍ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ຊົ່ວໂມງໃນສະຖານທີ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ແລະໃຫ້ຮັກສາໄລຍະຫ່າງ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ລະຫວ່າງໂຕະ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ປິ່ງປ໋ອງ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2ແມັດ.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ກິລາດອກປີກໄກ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່,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ເທັນນີສ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ສະກະວັດສ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ແລະອຶ່ນ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ໆ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ອະນຸຍາດໃຫ້ຢູ່ໃນສະຖານທີ່ຫລີ້ນກິລາບໍ່ເກີນ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ຊົ່ວໂມງ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.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ກິລາຟຸດ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ຊໍໃນຮົ່ມ,ບານບ້ວງໃນຮົ່ມແລະອຶ່ນໆ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)ອະນຸຍາດໃຫ້ຢູ່ໃນສະຖານທີ່ຫລີ້ນກິລາບໍ່ເກີນ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ຊົ່ວໂມງ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ປະເພດ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GX)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ໃຫ້ຮັກສາລະດັບຄວາມ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ໄວຂອງ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ສຽງເພັງ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100~120bpm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>.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ປະເພດກິລາ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ຫ້າມການຫລີ້ນ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ກິລາທຸກ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ປະເພດ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່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ນັກກິລາມີ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ແຕະຕ້ອງ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ຕົວກັນ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ໂດຍກົງ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ການແຂ່ງຂັນ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>.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ການເພາະຕົວ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ອອກກໍາລັງກາຍ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ໃຫ້ຮັກສາແລະປະຕິບັດຕາມການແນະນໍາດ້ານຄວາມ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ໄວຂອງເຄື່ອງແລ່ນດ້ວຍ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ໄຟຟ້າ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ບໍ່ເກີນ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Km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>.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ຫ້ອງອາບນໍ້າ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ປິດການໃຫ້ບໍລິການ</w:t>
            </w:r>
          </w:p>
        </w:tc>
      </w:tr>
      <w:tr>
        <w:trPr>
          <w:trHeight w:val="524" w:hRule="atLeast"/>
        </w:trPr>
        <w:tc>
          <w:tcPr>
            <w:tcW w:w="2220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182" w:right="185" w:firstLine="21"/>
              <w:jc w:val="both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ການຂາຍໂດຍກົງ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ສູນສົ່ງເສີມການຂາຍບໍລິການ</w:t>
            </w:r>
            <w:r>
              <w:rPr>
                <w:rFonts w:ascii="Saysettha OT" w:eastAsia="Saysettha OT" w:hAnsi="Saysettha OT" w:cs="Saysettha OT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ສົ່ງເຖິງປະຕູ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 w:before="7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66" w:hanging="175"/>
              <w:spacing w:after="0" w:before="7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</w:tr>
      <w:tr>
        <w:trPr>
          <w:trHeight w:val="514" w:hRule="atLeast"/>
        </w:trPr>
        <w:tc>
          <w:tcPr>
            <w:tcW w:w="2220" w:type="dxa"/>
            <w:vMerge w:val="continue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3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256" w:hanging="160"/>
              <w:spacing w:after="0" w:before="6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3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ind w:left="258" w:hanging="159"/>
              <w:spacing w:after="0" w:before="6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</w:tbl>
    <w:p>
      <w:pPr>
        <w:spacing w:after="0" w:line="240" w:lineRule="auto"/>
        <w:rPr>
          <w:rFonts w:ascii="Saysettha OT" w:eastAsia="Saysettha OT" w:hAnsi="Saysettha OT" w:cs="Saysettha OT" w:hint="cs"/>
          <w:color w:val="000000"/>
          <w:sz w:val="16"/>
          <w:szCs w:val="16"/>
        </w:rPr>
      </w:pPr>
    </w:p>
    <w:tbl>
      <w:tblPr>
        <w:tblStyle w:val="a0"/>
        <w:tblW w:w="9645" w:type="dxa"/>
        <w:tblInd w:w="-282" w:type="dxa"/>
        <w:tblLook w:val="0400" w:firstRow="0" w:lastRow="0" w:firstColumn="0" w:lastColumn="0" w:noHBand="0" w:noVBand="1"/>
        <w:tblLayout w:type="fixed"/>
      </w:tblPr>
      <w:tblGrid>
        <w:gridCol w:w="2205"/>
        <w:gridCol w:w="2037"/>
        <w:gridCol w:w="2598"/>
        <w:gridCol w:w="1665"/>
        <w:gridCol w:w="1140"/>
      </w:tblGrid>
      <w:tr>
        <w:trPr>
          <w:trHeight w:val="442" w:hRule="atLeast"/>
        </w:trPr>
        <w:tc>
          <w:tcPr>
            <w:tcW w:w="9645" w:type="dxa"/>
            <w:gridSpan w:val="5"/>
            <w:tcBorders>
              <w:top w:val="single" w:sz="12" w:space="0" w:color="000000"/>
              <w:bottom w:val="single" w:sz="6" w:space="0" w:color="000000"/>
            </w:tcBorders>
            <w:shd w:val="clear" w:color="auto" w:fill="FFE7D8"/>
          </w:tcPr>
          <w:p>
            <w:pPr>
              <w:ind w:left="2228" w:right="2239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ສິ່ງອໍານວຍຄວາມສະດວກກຸ່ມທີ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3</w:t>
            </w:r>
          </w:p>
        </w:tc>
      </w:tr>
      <w:tr>
        <w:trPr>
          <w:trHeight w:val="282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16" w:right="19"/>
              <w:jc w:val="center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ການຈັດປະເພດ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>
        <w:trPr>
          <w:trHeight w:val="1965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89" w:hanging="14"/>
              <w:jc w:val="center"/>
              <w:spacing w:after="0" w:before="141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ສະຖານການສຶກສາ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ສະຖາບັນຝຶກອົບຮົມວິ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ຊາຊີບ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ສູນກາ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ງຝຶກອົບຮົມຕ່າງ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ໆ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)</w:t>
            </w:r>
          </w:p>
          <w:p>
            <w:pPr>
              <w:ind w:left="89" w:hanging="14"/>
              <w:jc w:val="center"/>
              <w:spacing w:after="0" w:before="141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27" w:hanging="131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ະໄລຍະໃຫ້ຕັ່ງວ່າງໜຶ່ງ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ໜ່ວຍ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ນອກຈາກວ່າມີແນວຂັ້ນ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ໄວ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ຖ້າບໍ່ມີບ່ອນນັ່ງ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94" w:right="88" w:hanging="164"/>
              <w:spacing w:after="0" w:before="112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ປ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ະໄລຍະຫ່າງ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ຖ້າບໍ່ມີບ່ອນນັ່ງ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94" w:right="88" w:hanging="164"/>
              <w:spacing w:after="0" w:before="112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  <w:p>
            <w:pPr>
              <w:ind w:left="94" w:right="88" w:hanging="164"/>
              <w:spacing w:after="0" w:before="112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6" w:hanging="142"/>
              <w:spacing w:after="0" w:before="162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ວັ້ນໄລຍະຫ່າງລະຫວ່າງສອງບ່ອນນັ່ງ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ຕາລາງແມັດຂອງສະຖານ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ກໍລະນີບໍ່ມີບ່ອນນັ່ງ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</w:p>
          <w:p>
            <w:pPr>
              <w:ind w:left="34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ໂຮງຮູບເງົາ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ຫ້ອງສະແດງດົນຕີ</w:t>
            </w:r>
          </w:p>
          <w:p>
            <w:pPr>
              <w:ind w:left="34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before="103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ບ່ອນນັ່ງບໍ່ໄດ້ພັບຂຶ້ນ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ໝາຍ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ຄວາມວ່າບໍ່ໄດ້ເວັ້ນໄລຍະຫ່າງລະຫວ່າງຕັ່ງນັ່ງ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ປະຕັ່ງຫ່າງ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ສໍາລັບບຸກຄົນທີ່ບໍ່ໄດ້ມານໍາກັນ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ຈໍາກັດສູງສຸດ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5.000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ຄົນຂອງການສະແດງແຕ່ລະຄັ້ງ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ຫ້າມດື່ມນໍ້າ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ກິນອາຫານໃນໂຮງຮູບເງົາ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ສະແດງ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211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ຫ້ອງອ່ານໜັງສື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ບ່ອນຮຽນໜັງສື</w:t>
            </w:r>
          </w:p>
          <w:p>
            <w:pPr>
              <w:ind w:right="211"/>
              <w:spacing w:after="0" w:before="52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ປະຕັ່ງວ່າງ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ຍົກເວັ້ນກໍລະນີມີແນວຂັ້ນໄວ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498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19"/>
              <w:spacing w:after="0" w:line="308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ຫ້ອງຈັດງານວິວາ</w:t>
            </w:r>
          </w:p>
          <w:p>
            <w:pPr>
              <w:ind w:right="19"/>
              <w:spacing w:after="0" w:before="64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ຂອງຫ້ອງຈັດງານວິວາ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ໃນທຸກ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ໆ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ຄັ້ງທີ່ຈັດງານວິວາ</w:t>
            </w:r>
          </w:p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ຄົນຕໍ່ງານວິວາ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+1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ຂອງຫ້ອງຈັດງານວິວາ</w:t>
            </w:r>
          </w:p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ຄົນຕໍ່ງານວິວາ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+1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ຂອງຫ້ອງຈັດງານວິວາ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 w:before="64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ອະນຸຍາດໃຫ້ພຽງແຕ່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ຍາດພີ່ນ້ອງເທົ່ານັ້ນ</w:t>
            </w:r>
          </w:p>
          <w:p>
            <w:pPr>
              <w:ind w:left="238" w:hanging="145"/>
              <w:spacing w:after="0" w:before="64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2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19"/>
              <w:spacing w:after="0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ງ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ານຊາປະນະກິດສົບ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ຕາລາງແມັດໃນສະຖານ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ທີ່ເກັບສົບ</w:t>
            </w:r>
          </w:p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95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ໃນສະຖານທີ່ເກັບສົບ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+ 1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ຕາລາງແມັດໃນສະຖານ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ທີ່ເກັບສົບ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10" w:hanging="116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ໃນສະຖານທີ່ເກັບ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ສົບ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+ 1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ຕາລາງແມັດໃນສະຖານ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ທີ່ເກັບສົບ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ອ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ະນຸຍາດໃຫ້ພຽງ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ແຕ່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ຍາດພີ່ນ້ອງເທົ່ານັ້ນ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ທຸລະກິດແຕ່ງຊົງຜົມ</w:t>
            </w:r>
          </w:p>
          <w:p>
            <w:pPr>
              <w:spacing w:after="0" w:before="105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4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before="105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ສວນສະໜຸກ</w:t>
            </w:r>
          </w:p>
          <w:p>
            <w:pPr>
              <w:spacing w:after="0" w:before="105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ຈໍາກັດຈໍານວນຄົນເຂົ້າ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70%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ຂອງຄວາມສາມາດ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ບັນຈຸ</w:t>
            </w:r>
          </w:p>
        </w:tc>
        <w:tc>
          <w:tcPr>
            <w:tcW w:w="2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ຂອງຄວາມສາມາດ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ບັນຈຸ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before="103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ສວນ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​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ໍ້າ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  <w:p>
            <w:pPr>
              <w:spacing w:after="0" w:before="103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ບໍ່ຈໍາກັດຈໍານວນຄົນເຂົ້າ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ຂອງຄວາມສາມາດ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ບັນຈຸ</w:t>
            </w:r>
          </w:p>
        </w:tc>
        <w:tc>
          <w:tcPr>
            <w:tcW w:w="2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30%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ຂອງຄວາມສາມາດ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ບັນຈຸ</w:t>
            </w:r>
          </w:p>
          <w:p>
            <w:pPr>
              <w:ind w:left="239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ອາເຂດທີ່ມີຫລາຍຫ້ອງ</w:t>
            </w:r>
          </w:p>
          <w:p>
            <w:pPr>
              <w:spacing w:after="0" w:before="52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8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ຮ້ານຄ້າ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ຮ້ານສະດວກຊື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ຮ້ານຊັບພະສິນຄ້າ</w:t>
            </w:r>
          </w:p>
          <w:p>
            <w:pPr>
              <w:spacing w:after="0" w:before="69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ສົ່ງເສີມການຊີມອາຫານ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ສະໜອງຕົວຢ່າງ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ເອົາຜ້າປິດປາກປິດດັງອອກ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ນໍາໃຊ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ສະຖານທີ່ພັກຜ່ອນ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ຫ້າມຈັດກິດຈະກໍາທີ່ດຶງດູດຈິດໃຈ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2-4)</w:t>
            </w:r>
          </w:p>
        </w:tc>
      </w:tr>
      <w:tr>
        <w:trPr>
          <w:trHeight w:val="308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ບ່ອນການພະນັນ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ກາຊີໂນ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ຄົນທ້ອງຖິ່ນ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)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ຂອງຄວາມສາມາດ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ບັນຈຸ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3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ຂອງຄວາມສາມາດ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ບັນຈຸ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19"/>
              <w:spacing w:after="0" w:before="103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້ອງຄອມພິວເຕີ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ບ່ອນນັ່ງບໍ່ໄດ້ພັບຂຶ້ນ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ໝາຍ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ຄວາມວ່າບໍ່ໄດ້ເວັ້ນໄລຍະຫ່າງລະ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ຫວ່າງຕັ່ງນັ່ງ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ປະໄລຍະວ່າງ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ໜຶ່ງບ່ອນນັ່ງ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ບໍ່ຈໍາເປັນປະວ່າງຖ້າມີຝາກັ້ນໄວ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ບໍ່ມີການຈໍາກັດເວລາ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ໃນການເປີດບໍລິການ</w:t>
            </w:r>
          </w:p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ຢຸດການໃຫ້ບໍລິການຫລັງ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22:00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ໂມງ</w:t>
            </w:r>
          </w:p>
        </w:tc>
      </w:tr>
      <w:tr>
        <w:trPr>
          <w:trHeight w:val="452" w:hRule="atLeast"/>
        </w:trPr>
        <w:tc>
          <w:tcPr>
            <w:tcW w:w="9645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E7D8"/>
          </w:tcPr>
          <w:p>
            <w:pPr>
              <w:ind w:left="2242" w:right="2239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ສິ່ງອໍານວຍຄວາມສະດວກອຶ່ນ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ໆ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ແຂ່ງມ້າ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ແຂ່ງລົດຖີບ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ລານແຂ່ງ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ຮ້ານຄ້າສະເພາະເຄື່ອງຈັດງານວັນເກີດເດັກ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ປີ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ຫ້ອງນັ່ງລໍຖ້ານວດ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ແລະອຶ່ນ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ໆ</w:t>
            </w:r>
          </w:p>
        </w:tc>
      </w:tr>
      <w:tr>
        <w:trPr>
          <w:trHeight w:val="282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16" w:right="19"/>
              <w:jc w:val="center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ການຈັດປະເພດ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AE4C7"/>
          </w:tcPr>
          <w:p>
            <w:pPr>
              <w:ind w:left="65" w:right="37"/>
              <w:jc w:val="center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ທີ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>
        <w:trPr>
          <w:trHeight w:val="481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 w:hanging="120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ບ່ອນຊົມກິລາ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ສາຂາ</w:t>
            </w:r>
          </w:p>
          <w:p>
            <w:pPr>
              <w:ind w:left="34" w:hanging="120"/>
              <w:spacing w:after="0" w:before="153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22" w:hanging="126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ຖ້າໃນຮົ່ມ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</w:p>
          <w:p>
            <w:pPr>
              <w:ind w:left="160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ຖ້າກາງແຈ້ງ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70%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</w:p>
          <w:p>
            <w:pPr>
              <w:ind w:left="160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561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ຖ້າໃນຮົ່ມ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30%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ຂອງຈໍານວນຄົນເຂົ້າ</w:t>
            </w:r>
          </w:p>
          <w:p>
            <w:pPr>
              <w:ind w:right="561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  <w:p>
            <w:pPr>
              <w:ind w:left="160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ຖ້າກາງແຈ້ງ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ຂອງຈໍານວນຄົນເຂົ້າ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08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ຖ້າໃນຮົ່ມ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20%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ມາດບັນຈຸ</w:t>
            </w:r>
          </w:p>
          <w:p>
            <w:pPr>
              <w:ind w:left="160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ຖ້າກາງແຈ້ງ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) 30%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ານແຂ່ງຂັນທີ່ບໍ່ມີຜູ້ເຂົ້າຊົມ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ເວັ້ນໄລຍະຫ່າງໜຶ່ງບ່ອນນັ່ງຈາກໝ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ູ່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ຫ້າມດື່ມ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ກິນອາຫານ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ຢູ່ໃນສະຖານທີ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</w:tr>
      <w:tr>
        <w:trPr>
          <w:trHeight w:val="498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 w:right="21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ຫໍພິພິຕະພັນ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ຫໍວາງສະແດງສິລະປະກໍາ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ຫ້ອງວິທະຍາສາດ</w:t>
            </w:r>
          </w:p>
          <w:p>
            <w:pPr>
              <w:ind w:left="34" w:right="21"/>
              <w:jc w:val="center"/>
              <w:spacing w:after="0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before="64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  <w:p>
            <w:pPr>
              <w:ind w:left="239" w:hanging="143"/>
              <w:spacing w:after="0" w:before="64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4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95"/>
              <w:spacing w:after="0" w:before="64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ind w:left="95"/>
              <w:spacing w:after="0" w:before="64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28" w:hanging="135"/>
              <w:spacing w:after="0" w:before="64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30%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</w:tr>
      <w:tr>
        <w:trPr>
          <w:trHeight w:val="462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 w:right="19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ສະຖານທີ່ຫລີ້ນກິລາກາງ</w:t>
            </w:r>
          </w:p>
          <w:p>
            <w:pPr>
              <w:ind w:left="34" w:right="19"/>
              <w:jc w:val="center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ແຈ້ງ</w:t>
            </w:r>
          </w:p>
        </w:tc>
        <w:tc>
          <w:tcPr>
            <w:tcW w:w="4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before="47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ຫ້າມດື່ມ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ກິນອາຫານຢູ່ໃນສະຖານທີ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ລະດັບ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1-4)</w:t>
            </w:r>
          </w:p>
          <w:p>
            <w:pPr>
              <w:spacing w:after="0" w:before="47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9" w:hanging="145"/>
              <w:spacing w:after="0"/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>ຈໍານວນບໍ່ໃຫ້ເກີນ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 xml:space="preserve"> 1.5 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>ເທົ່າຂອງ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 xml:space="preserve"> 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>ຈໍານວນນັກກິລາ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 xml:space="preserve"> 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>ໃນລາຍ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 xml:space="preserve"> </w:t>
            </w:r>
            <w:r>
              <w:rPr>
                <w:rFonts w:ascii="Saysettha OT" w:eastAsia="Microsoft YaHei" w:hAnsi="Saysettha OT" w:cs="Saysettha OT" w:hint="cs"/>
                <w:color w:val="000000"/>
                <w:sz w:val="16"/>
                <w:szCs w:val="16"/>
                <w:shd w:val="clear" w:color="auto" w:fill="FDFDFD"/>
              </w:rPr>
              <w:t>ການແຂ່ງຂັນນຶ່ງ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ສະຖານທີ່ພັກເຊົາ</w:t>
            </w:r>
          </w:p>
          <w:p>
            <w:pPr>
              <w:ind w:left="34"/>
              <w:spacing w:after="0" w:before="103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 w:before="103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ຫ້າມບໍ່ໃຫ້ກາຍຈໍານວນຈໍາກັດທີ່ຫ້ອງສາມາດບັນຈຸໄດ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ຍົກເວັ້ນສະມາຊິກຄອບຄົວດຽວກັນ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239" w:hanging="143"/>
              <w:spacing w:after="0" w:before="103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1" w:hanging="13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ຫ້າມບໍ່ໃຫ້ກາຍຈໍານວນຈໍາກັດທີ່ຫ້ອງ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ສາມາດບັນຈຸໄດ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</w:p>
        </w:tc>
      </w:tr>
      <w:tr>
        <w:trPr>
          <w:trHeight w:val="282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5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3/4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ຂອງຈໍານວນ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ຫ້ອງທີ່ເປີດບໍລິການ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38" w:hanging="14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2/3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ຈໍານວນ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ຫ້ອງທີ່ເປີດ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ບໍລິການ</w:t>
            </w:r>
          </w:p>
        </w:tc>
      </w:tr>
      <w:tr>
        <w:trPr>
          <w:trHeight w:val="282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 w:right="21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ຫ້ອງສະມຸກ</w:t>
            </w:r>
          </w:p>
          <w:p>
            <w:pPr>
              <w:ind w:left="34" w:right="21"/>
              <w:spacing w:after="0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70%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</w:p>
          <w:p>
            <w:pPr>
              <w:ind w:left="239" w:hanging="14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282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 w:right="19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ຮ້ານຂາຍເຄື່ອງດຶ່ມເດັກ</w:t>
            </w:r>
          </w:p>
          <w:p>
            <w:pPr>
              <w:ind w:left="34" w:right="19"/>
              <w:spacing w:after="0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9" w:hanging="143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ຄົນຕໍ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6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ຕາລາງແມັດໃນ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ສະຖານທີ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່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  <w:tr>
        <w:trPr>
          <w:trHeight w:val="500" w:hRule="atLeast"/>
        </w:trPr>
        <w:tc>
          <w:tcPr>
            <w:tcW w:w="22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/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ກອງປະຊຸມສາກົນ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ກິດຈະການດ້ານສຶກສາ</w:t>
            </w:r>
          </w:p>
          <w:p>
            <w:pPr>
              <w:ind w:left="34"/>
              <w:spacing w:after="0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" w:right="757" w:hanging="34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ເວັ້ນໄລຍະຫ່າງ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ໜຶ່ງບ່ອນນັ່ງ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ໃຫ້ແຕ່ລະທີ່ນັ່ງຫ່າງກັນ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ແມັດ</w:t>
            </w:r>
          </w:p>
        </w:tc>
        <w:tc>
          <w:tcPr>
            <w:tcW w:w="5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51" w:hanging="157"/>
              <w:spacing w:after="0" w:before="67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ເວັ້ນໄລຍະຫ່າງ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ລະຫວ່າງ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ສອງທີ່ນັ່ງ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ໃຫ້ແຕ່ລະທີ່ນັ່ງຫ່າງກັນ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ແມັດ</w:t>
            </w:r>
          </w:p>
          <w:p>
            <w:pPr>
              <w:spacing w:after="0" w:before="67" w:line="240" w:lineRule="auto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</w:tr>
      <w:tr>
        <w:trPr>
          <w:trHeight w:val="452" w:hRule="atLeast"/>
        </w:trPr>
        <w:tc>
          <w:tcPr>
            <w:tcW w:w="2205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spacing w:after="0" w:before="7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 </w:t>
            </w:r>
          </w:p>
          <w:p>
            <w:pPr>
              <w:spacing w:after="0" w:line="308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  <w:t>ສະຖານທີ່ທາງສາສະໜາ</w:t>
            </w:r>
          </w:p>
          <w:p>
            <w:pPr>
              <w:spacing w:after="0" w:line="240" w:lineRule="auto"/>
              <w:rPr>
                <w:rFonts w:ascii="Saysettha OT" w:eastAsia="Saysettha OT" w:hAnsi="Saysettha OT" w:cs="Saysettha OT" w:hint="c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5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50%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</w:p>
          <w:p>
            <w:pPr>
              <w:ind w:left="160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ປະຕັ່ງວ່າງ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ໜຶ່ງໜ່ວຍ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30%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ປະຕັ່ງວ່າງ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2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ໜ່ວຍ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48" w:hanging="154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20%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ຂອງຄວາມ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ສາມາດບັນຈຸ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ປະຕັ່ງ</w:t>
            </w:r>
          </w:p>
          <w:p>
            <w:pPr>
              <w:ind w:left="248" w:hanging="154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ວ່າງ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4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ໜ່ວຍ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ind w:left="247" w:hanging="154"/>
              <w:spacing w:after="0" w:before="45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ບໍ່ໄດ້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ຊ່ອງໜ້າ</w:t>
            </w:r>
          </w:p>
          <w:p>
            <w:pPr>
              <w:ind w:left="247" w:hanging="154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ກັນ</w:t>
            </w:r>
          </w:p>
        </w:tc>
      </w:tr>
      <w:tr>
        <w:trPr>
          <w:trHeight w:val="907" w:hRule="atLeast"/>
        </w:trPr>
        <w:tc>
          <w:tcPr>
            <w:tcW w:w="2205" w:type="dxa"/>
            <w:vMerge w:val="continue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after="0" w:line="276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97" w:right="308" w:hanging="123"/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ຫລີເວັ້ນການຊຸມແຊວກັນ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ກິດຈະກໍາ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ກິນເຂົ້າ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ພັກຜ່ອນ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</w:p>
          <w:p>
            <w:pPr>
              <w:ind w:right="308"/>
              <w:numPr>
                <w:ilvl w:val="0"/>
                <w:numId w:val="2"/>
              </w:numPr>
              <w:spacing w:after="0" w:line="308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ກ່ອນໄດ້ຮັບອະນຸຍາດ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ຈາກລັດຖະບານ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ທ້ອງຖິ່ນ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ໃນການຊຸມແຊວກັນ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ແລະ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ເຮັດກິດຈະກໍາ</w:t>
            </w:r>
            <w:r>
              <w:rPr>
                <w:rFonts w:ascii="Saysettha OT" w:eastAsia="Saysettha OT" w:hAnsi="Saysettha OT" w:cs="Saysettha O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ທີ່ມີຜູ້ເຂົ້າ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ຮ່ວມຫລາຍກວ່າ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251" w:hanging="157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ຫ້າມການຊຸມແຊວກັນ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ກິດຈະກໍາ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ກິນເຂົ້າ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ພັກຜ່ອນ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ໃຫ້ມີກິດຈະກໍາກາງ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ແຈ້ງ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ມີຜູ້ເຂົ້າຮ່ວມໜ້ອຍກວ່າ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100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  <w:p>
            <w:pPr>
              <w:ind w:left="95"/>
              <w:spacing w:after="0"/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**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ກໍານົດເວລາໃນການປ່ຽນແປງແຕ່ລະຂັ້ນຕອນ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ຫລັງຈາກໄລຍະການປະຕິບັດການ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ຫລາຍກວ່າ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 xml:space="preserve"> 50 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ind w:left="174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ຫ້າມການຊຸມກັນ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ກິດຈະກໍາ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ເຂົ້າ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ພັກຜ່ອນ</w:t>
            </w:r>
          </w:p>
          <w:p>
            <w:pPr>
              <w:ind w:left="174"/>
              <w:spacing w:after="0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Apple Color Emoji" w:eastAsia="Saysettha OT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ໃຫ້ມີກິດຈະກໍາ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ກາງ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ແຈ້ງ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ມີຜູ້ເຂົ້າຮ່ວມໜ້ອຍກວ່າ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50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ຄົນ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spacing w:after="0" w:before="16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  <w:r>
              <w:rPr>
                <w:rFonts w:ascii="Saysettha OT" w:eastAsia="Saysettha OT" w:hAnsi="Saysettha OT" w:cs="Saysettha OT" w:hint="cs"/>
                <w:b/>
                <w:color w:val="000000"/>
                <w:sz w:val="16"/>
                <w:szCs w:val="16"/>
              </w:rPr>
              <w:t> </w:t>
            </w:r>
            <w:r>
              <w:rPr>
                <w:rFonts w:ascii="Apple Color Emoji" w:eastAsia="Apple Color Emoji" w:hAnsi="Apple Color Emoji" w:cs="Apple Color Emoji"/>
                <w:color w:val="000000"/>
                <w:sz w:val="16"/>
                <w:szCs w:val="16"/>
              </w:rPr>
              <w:t>▪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 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ບໍ່ໃຫ້ມີການຊຸມແຊວກັນ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/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ກິດຈະກໍາ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ກິນເຈົ້າ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ຫລືພັກ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  <w:t>ຜ່ອນ</w:t>
            </w:r>
          </w:p>
          <w:p>
            <w:pPr>
              <w:ind w:left="247" w:hanging="154"/>
              <w:spacing w:after="0" w:line="240" w:lineRule="auto"/>
              <w:rPr>
                <w:rFonts w:ascii="Saysettha OT" w:eastAsia="Saysettha OT" w:hAnsi="Saysettha OT" w:cs="Saysettha OT" w:hint="cs"/>
                <w:color w:val="000000"/>
                <w:sz w:val="16"/>
                <w:szCs w:val="16"/>
              </w:rPr>
            </w:pPr>
          </w:p>
        </w:tc>
      </w:tr>
    </w:tbl>
    <w:p>
      <w:pPr>
        <w:spacing w:after="0" w:line="240" w:lineRule="auto"/>
        <w:rPr>
          <w:rFonts w:ascii="Saysettha OT" w:eastAsia="Saysettha OT" w:hAnsi="Saysettha OT" w:cs="Saysettha OT" w:hint="cs"/>
          <w:color w:val="000000"/>
          <w:sz w:val="16"/>
          <w:szCs w:val="16"/>
        </w:rPr>
      </w:pPr>
    </w:p>
    <w:sectPr>
      <w:pgSz w:w="12240" w:h="15840"/>
      <w:pgMar w:top="540" w:right="1440" w:bottom="1440" w:left="1440" w:header="720" w:footer="720" w:gutter="0"/>
      <w:cols w:space="720"/>
      <w:docGrid w:linePitch="36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Saysettha OT">
    <w:panose1 w:val="020B0504020207020204"/>
    <w:family w:val="swiss"/>
    <w:charset w:val="de"/>
    <w:notTrueType w:val="false"/>
    <w:sig w:usb0="830000AF" w:usb1="1000200A" w:usb2="00000001" w:usb3="00000001" w:csb0="00010001" w:csb1="00000001"/>
  </w:font>
  <w:font w:name="Apple Color Emoji">
    <w:panose1 w:val="00000000000000000000"/>
    <w:family w:val="auto"/>
    <w:altName w:val="Apple Color Emoji"/>
    <w:charset w:val="00"/>
    <w:notTrueType w:val="false"/>
    <w:pitch w:val="variable"/>
    <w:sig w:usb0="00000003" w:usb1="18000000" w:usb2="14000000" w:usb3="00000000" w:csb0="00000001" w:csb1="00000000"/>
  </w:font>
  <w:font w:name="Segoe UI Symbol">
    <w:panose1 w:val="020B0502040204020203"/>
    <w:family w:val="swiss"/>
    <w:charset w:val="00"/>
    <w:notTrueType w:val="false"/>
    <w:sig w:usb0="800001E3" w:usb1="1200FFEF" w:usb2="00040000" w:usb3="04000000" w:csb0="00000001" w:csb1="40000000"/>
  </w:font>
  <w:font w:name="Microsoft YaHei">
    <w:panose1 w:val="020B0503020204020204"/>
    <w:family w:val="swiss"/>
    <w:charset w:val="86"/>
    <w:notTrueType w:val="false"/>
    <w:sig w:usb0="80000287" w:usb1="2ACF3C50" w:usb2="00000016" w:usb3="00000001" w:csb0="0004001F" w:csb1="00000001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맑은 고딕">
    <w:panose1 w:val="020B0503020000020004"/>
    <w:family w:val="swiss"/>
    <w:charset w:val="81"/>
    <w:notTrueType w:val="false"/>
    <w:sig w:usb0="9000002F" w:usb1="29D77CFB" w:usb2="00000012" w:usb3="00000001" w:csb0="00080001" w:csb1="00000001"/>
  </w:font>
  <w:font w:name="Georgia">
    <w:panose1 w:val="02040502050405020303"/>
    <w:family w:val="roman"/>
    <w:charset w:val="00"/>
    <w:notTrueType w:val="false"/>
    <w:sig w:usb0="00000287" w:usb1="00000001" w:usb2="00000001" w:usb3="00000001" w:csb0="2000009F" w:csb1="00000001"/>
  </w:font>
  <w:font w:name="Phetsarath OT">
    <w:panose1 w:val="02000500000000020004"/>
    <w:family w:val="auto"/>
    <w:charset w:val="00"/>
    <w:notTrueType w:val="false"/>
    <w:sig w:usb0="820000AF" w:usb1="0000200A" w:usb2="00000001" w:usb3="00000001" w:csb0="600101FF" w:csb1="20280000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  <w:font w:name="Noto Sans Symbols">
    <w:panose1 w:val="020B0604FFFFFFFFFFFF"/>
    <w:family w:val="auto"/>
    <w:charset w:val="00"/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0116d28"/>
    <w:multiLevelType w:val="multilevel"/>
    <w:tmpl w:val="c57eef3a"/>
    <w:lvl w:ilvl="0">
      <w:start w:val="1"/>
      <w:numFmt w:val="bullet"/>
      <w:lvlText w:val="-"/>
      <w:lvlJc w:val="left"/>
      <w:pPr>
        <w:ind w:left="451" w:hanging="360"/>
      </w:pPr>
      <w:rPr>
        <w:rFonts w:ascii="Phetsarath OT" w:eastAsia="Phetsarath OT" w:hAnsi="Phetsarath OT" w:cs="Phetsarath OT"/>
        <w:sz w:val="16"/>
        <w:szCs w:val="16"/>
      </w:rPr>
    </w:lvl>
    <w:lvl w:ilvl="1">
      <w:start w:val="1"/>
      <w:numFmt w:val="bullet"/>
      <w:lvlText w:val="o"/>
      <w:lvlJc w:val="left"/>
      <w:pPr>
        <w:ind w:left="117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7077f5e"/>
    <w:multiLevelType w:val="multilevel"/>
    <w:tmpl w:val="1940d74"/>
    <w:lvl w:ilvl="0">
      <w:start w:val="1"/>
      <w:numFmt w:val="bullet"/>
      <w:lvlText w:val="●"/>
      <w:lvlJc w:val="left"/>
      <w:pPr>
        <w:ind w:left="141" w:firstLine="143"/>
      </w:pPr>
      <w:rPr>
        <w:u w:val="none" w:color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 w:color="auto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 w:color="auto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 w:color="auto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 w:color="auto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 w:color="auto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 w:color="auto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 w:color="auto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 w:color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Calibri" w:eastAsia="Calibri" w:hAnsi="Calibri" w:cs="Calibr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basedOn w:val="Normal"/>
    <w:next w:val="Normal"/>
    <w:qFormat/>
    <w:pPr>
      <w:keepNext/>
      <w:keepLines/>
      <w:outlineLvl w:val="0"/>
      <w:spacing w:after="120" w:before="480"/>
    </w:pPr>
    <w:rPr>
      <w:b/>
      <w:sz w:val="48"/>
      <w:szCs w:val="48"/>
    </w:rPr>
  </w:style>
  <w:style w:type="paragraph" w:styleId="Heading2">
    <w:name w:val="heading 2"/>
    <w:uiPriority w:val="9"/>
    <w:basedOn w:val="Normal"/>
    <w:next w:val="Normal"/>
    <w:qFormat/>
    <w:semiHidden/>
    <w:unhideWhenUsed/>
    <w:pPr>
      <w:keepNext/>
      <w:keepLines/>
      <w:outlineLvl w:val="1"/>
      <w:spacing w:after="80" w:before="360"/>
    </w:pPr>
    <w:rPr>
      <w:b/>
      <w:sz w:val="36"/>
      <w:szCs w:val="36"/>
    </w:rPr>
  </w:style>
  <w:style w:type="paragraph" w:styleId="Heading3">
    <w:name w:val="heading 3"/>
    <w:uiPriority w:val="9"/>
    <w:basedOn w:val="Normal"/>
    <w:next w:val="Normal"/>
    <w:qFormat/>
    <w:semiHidden/>
    <w:unhideWhenUsed/>
    <w:pPr>
      <w:keepNext/>
      <w:keepLines/>
      <w:outlineLvl w:val="2"/>
      <w:spacing w:after="80" w:before="280"/>
    </w:pPr>
    <w:rPr>
      <w:b/>
      <w:sz w:val="28"/>
      <w:szCs w:val="28"/>
    </w:rPr>
  </w:style>
  <w:style w:type="paragraph" w:styleId="Heading4">
    <w:name w:val="heading 4"/>
    <w:uiPriority w:val="9"/>
    <w:basedOn w:val="Normal"/>
    <w:next w:val="Normal"/>
    <w:qFormat/>
    <w:semiHidden/>
    <w:unhideWhenUsed/>
    <w:pPr>
      <w:keepNext/>
      <w:keepLines/>
      <w:outlineLvl w:val="3"/>
      <w:spacing w:after="40" w:before="240"/>
    </w:pPr>
    <w:rPr>
      <w:b/>
      <w:sz w:val="24"/>
      <w:szCs w:val="24"/>
    </w:rPr>
  </w:style>
  <w:style w:type="paragraph" w:styleId="Heading5">
    <w:name w:val="heading 5"/>
    <w:uiPriority w:val="9"/>
    <w:basedOn w:val="Normal"/>
    <w:next w:val="Normal"/>
    <w:qFormat/>
    <w:semiHidden/>
    <w:unhideWhenUsed/>
    <w:pPr>
      <w:keepNext/>
      <w:keepLines/>
      <w:outlineLvl w:val="4"/>
      <w:spacing w:after="40" w:before="220"/>
    </w:pPr>
    <w:rPr>
      <w:b/>
    </w:rPr>
  </w:style>
  <w:style w:type="paragraph" w:styleId="Heading6">
    <w:name w:val="heading 6"/>
    <w:uiPriority w:val="9"/>
    <w:basedOn w:val="Normal"/>
    <w:next w:val="Normal"/>
    <w:qFormat/>
    <w:semiHidden/>
    <w:unhideWhenUsed/>
    <w:pPr>
      <w:keepNext/>
      <w:keepLines/>
      <w:outlineLvl w:val="5"/>
      <w:spacing w:after="40" w:before="200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basedOn w:val="Normal"/>
    <w:next w:val="Normal"/>
    <w:qFormat/>
    <w:pPr>
      <w:ind w:left="328"/>
      <w:widowControl w:val="off"/>
      <w:spacing w:after="0" w:line="720" w:lineRule="auto"/>
    </w:pPr>
    <w:rPr>
      <w:rFonts w:ascii="맑은 고딕" w:eastAsia="맑은 고딕" w:hAnsi="맑은 고딕" w:cs="맑은 고딕"/>
      <w:b/>
      <w:i/>
    </w:rPr>
  </w:style>
  <w:style w:type="paragraph" w:styleId="Subtitle">
    <w:name w:val="Subtitle"/>
    <w:uiPriority w:val="11"/>
    <w:basedOn w:val="Normal"/>
    <w:next w:val="Normal"/>
    <w:qFormat/>
    <w:pPr>
      <w:keepNext/>
      <w:keepLines/>
      <w:spacing w:after="80"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CellMar>
        <w:left w:w="0" w:type="dxa"/>
        <w:right w:w="0" w:type="dxa"/>
      </w:tblCellMar>
      <w:tblStyleColBandSize w:val="1"/>
      <w:tblStyleRowBandSize w:val="1"/>
    </w:tblPr>
  </w:style>
  <w:style w:type="table" w:customStyle="1" w:styleId="a0">
    <w:basedOn w:val="TableNormal"/>
    <w:tblPr>
      <w:tblCellMar>
        <w:left w:w="0" w:type="dxa"/>
        <w:right w:w="0" w:type="dxa"/>
      </w:tblCellMar>
      <w:tblStyleColBandSize w:val="1"/>
      <w:tblStyleRow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한아름</dc:creator>
  <cp:keywords/>
  <dc:description/>
  <cp:lastModifiedBy>이선환</cp:lastModifiedBy>
  <cp:revision>1</cp:revision>
  <dcterms:created xsi:type="dcterms:W3CDTF">2021-07-06T15:09:00Z</dcterms:created>
  <dcterms:modified xsi:type="dcterms:W3CDTF">2021-07-07T02:44:54Z</dcterms:modified>
  <cp:version>1000.0100.01</cp:version>
</cp:coreProperties>
</file>